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22" w:rsidRPr="00AC3A22" w:rsidRDefault="00AC3A22" w:rsidP="00AC3A22">
      <w:pPr>
        <w:jc w:val="center"/>
        <w:rPr>
          <w:rFonts w:asciiTheme="minorHAnsi" w:hAnsiTheme="minorHAnsi"/>
          <w:b/>
          <w:sz w:val="48"/>
          <w:szCs w:val="48"/>
        </w:rPr>
      </w:pPr>
      <w:r w:rsidRPr="00AC3A22">
        <w:rPr>
          <w:rFonts w:asciiTheme="minorHAnsi" w:hAnsiTheme="minorHAnsi"/>
          <w:b/>
          <w:sz w:val="48"/>
          <w:szCs w:val="48"/>
        </w:rPr>
        <w:t>VICTORIA HALL TAKES DECISION TO MEET RISES IN ENERGY COSTS</w:t>
      </w:r>
    </w:p>
    <w:p w:rsidR="00AC3A22" w:rsidRPr="004C415B" w:rsidRDefault="00AC3A22" w:rsidP="00144A52">
      <w:pPr>
        <w:jc w:val="center"/>
        <w:rPr>
          <w:rFonts w:asciiTheme="minorHAnsi" w:hAnsiTheme="minorHAnsi"/>
          <w:b/>
          <w:sz w:val="32"/>
          <w:szCs w:val="32"/>
        </w:rPr>
      </w:pPr>
      <w:r w:rsidRPr="004C415B">
        <w:rPr>
          <w:rFonts w:asciiTheme="minorHAnsi" w:hAnsiTheme="minorHAnsi"/>
          <w:sz w:val="28"/>
          <w:szCs w:val="28"/>
        </w:rPr>
        <w:t>Unfortunately the Hall has had to take steps to meet the effects of the current energy crisis. Taking the figures for our ‘normal’ year and factoring in the new increased prices per unit, for both heating oil and electricity, it will be necessary for the Hall to find another £3,000 per annum, at the current levels, to break even. Obviously this is going to be subject to continuous scrutiny but we need to take action now. If further changes are necessary then that will happen when needed. The Hall’s only source of income, to pay for energy costs, is our Lettings Income from the Hall rentals. In an attempt to support the community, the present Letting Fees have not changed since the C&amp;DCC</w:t>
      </w:r>
      <w:r w:rsidR="004C415B" w:rsidRPr="004C415B">
        <w:rPr>
          <w:rFonts w:asciiTheme="minorHAnsi" w:hAnsiTheme="minorHAnsi"/>
          <w:sz w:val="28"/>
          <w:szCs w:val="28"/>
        </w:rPr>
        <w:t>/VHMC</w:t>
      </w:r>
      <w:r w:rsidRPr="004C415B">
        <w:rPr>
          <w:rFonts w:asciiTheme="minorHAnsi" w:hAnsiTheme="minorHAnsi"/>
          <w:sz w:val="28"/>
          <w:szCs w:val="28"/>
        </w:rPr>
        <w:t xml:space="preserve"> took over management of the Hall in 2010! The C&amp;DCC</w:t>
      </w:r>
      <w:r w:rsidR="004C415B" w:rsidRPr="004C415B">
        <w:rPr>
          <w:rFonts w:asciiTheme="minorHAnsi" w:hAnsiTheme="minorHAnsi"/>
          <w:sz w:val="28"/>
          <w:szCs w:val="28"/>
        </w:rPr>
        <w:t>/VHMC</w:t>
      </w:r>
      <w:r w:rsidRPr="004C415B">
        <w:rPr>
          <w:rFonts w:asciiTheme="minorHAnsi" w:hAnsiTheme="minorHAnsi"/>
          <w:sz w:val="28"/>
          <w:szCs w:val="28"/>
        </w:rPr>
        <w:t xml:space="preserve"> should be proud that with sensible cost control and re-investment in the Hall’s internal well-being, over 12 years, we have managed to keep the Fees at this level and survived (so far!) the financial blows inflicted by the pandemic. However now has to be the time for change or risk the future of the Hall. Attached is </w:t>
      </w:r>
      <w:r w:rsidR="004C415B" w:rsidRPr="004C415B">
        <w:rPr>
          <w:rFonts w:asciiTheme="minorHAnsi" w:hAnsiTheme="minorHAnsi"/>
          <w:sz w:val="28"/>
          <w:szCs w:val="28"/>
        </w:rPr>
        <w:t>agreed</w:t>
      </w:r>
      <w:r w:rsidRPr="004C415B">
        <w:rPr>
          <w:rFonts w:asciiTheme="minorHAnsi" w:hAnsiTheme="minorHAnsi"/>
          <w:sz w:val="28"/>
          <w:szCs w:val="28"/>
        </w:rPr>
        <w:t xml:space="preserve"> increase to our scale of Letting Fees to be applied from 1</w:t>
      </w:r>
      <w:r w:rsidRPr="004C415B">
        <w:rPr>
          <w:rFonts w:asciiTheme="minorHAnsi" w:hAnsiTheme="minorHAnsi"/>
          <w:sz w:val="28"/>
          <w:szCs w:val="28"/>
          <w:vertAlign w:val="superscript"/>
        </w:rPr>
        <w:t>st</w:t>
      </w:r>
      <w:r w:rsidRPr="004C415B">
        <w:rPr>
          <w:rFonts w:asciiTheme="minorHAnsi" w:hAnsiTheme="minorHAnsi"/>
          <w:sz w:val="28"/>
          <w:szCs w:val="28"/>
        </w:rPr>
        <w:t xml:space="preserve"> September 2022. This is based on raising £3k from a </w:t>
      </w:r>
      <w:r w:rsidR="004C415B">
        <w:rPr>
          <w:rFonts w:asciiTheme="minorHAnsi" w:hAnsiTheme="minorHAnsi"/>
          <w:sz w:val="28"/>
          <w:szCs w:val="28"/>
        </w:rPr>
        <w:t xml:space="preserve">‘normal’ full year of lettings and if Hall Rental Income does not return to that level then further action will be required. </w:t>
      </w:r>
      <w:r w:rsidR="004C415B" w:rsidRPr="004C415B">
        <w:rPr>
          <w:rFonts w:asciiTheme="minorHAnsi" w:hAnsiTheme="minorHAnsi"/>
          <w:sz w:val="28"/>
          <w:szCs w:val="28"/>
        </w:rPr>
        <w:t>Sadly t</w:t>
      </w:r>
      <w:r w:rsidRPr="004C415B">
        <w:rPr>
          <w:rFonts w:asciiTheme="minorHAnsi" w:hAnsiTheme="minorHAnsi"/>
          <w:sz w:val="28"/>
          <w:szCs w:val="28"/>
        </w:rPr>
        <w:t xml:space="preserve">his </w:t>
      </w:r>
      <w:r w:rsidR="004C415B">
        <w:rPr>
          <w:rFonts w:asciiTheme="minorHAnsi" w:hAnsiTheme="minorHAnsi"/>
          <w:sz w:val="28"/>
          <w:szCs w:val="28"/>
        </w:rPr>
        <w:t xml:space="preserve">currently </w:t>
      </w:r>
      <w:r w:rsidRPr="004C415B">
        <w:rPr>
          <w:rFonts w:asciiTheme="minorHAnsi" w:hAnsiTheme="minorHAnsi"/>
          <w:sz w:val="28"/>
          <w:szCs w:val="28"/>
        </w:rPr>
        <w:t xml:space="preserve">requires an average </w:t>
      </w:r>
      <w:r w:rsidR="004C415B">
        <w:rPr>
          <w:rFonts w:asciiTheme="minorHAnsi" w:hAnsiTheme="minorHAnsi"/>
          <w:sz w:val="28"/>
          <w:szCs w:val="28"/>
        </w:rPr>
        <w:t>rise</w:t>
      </w:r>
      <w:r w:rsidRPr="004C415B">
        <w:rPr>
          <w:rFonts w:asciiTheme="minorHAnsi" w:hAnsiTheme="minorHAnsi"/>
          <w:sz w:val="28"/>
          <w:szCs w:val="28"/>
        </w:rPr>
        <w:t xml:space="preserve"> of 35%.</w:t>
      </w:r>
    </w:p>
    <w:p w:rsidR="0037775A" w:rsidRDefault="00E60205" w:rsidP="004C415B">
      <w:pPr>
        <w:pBdr>
          <w:top w:val="single" w:sz="4" w:space="1" w:color="auto"/>
          <w:left w:val="single" w:sz="4" w:space="4" w:color="auto"/>
          <w:bottom w:val="single" w:sz="4" w:space="1" w:color="auto"/>
          <w:right w:val="single" w:sz="4" w:space="4" w:color="auto"/>
        </w:pBdr>
        <w:jc w:val="center"/>
        <w:rPr>
          <w:rFonts w:ascii="Comic Sans MS" w:hAnsi="Comic Sans MS"/>
          <w:b/>
          <w:sz w:val="48"/>
          <w:szCs w:val="48"/>
        </w:rPr>
      </w:pPr>
      <w:r w:rsidRPr="00E60205">
        <w:rPr>
          <w:rFonts w:ascii="Comic Sans MS" w:hAnsi="Comic Sans MS"/>
          <w:b/>
          <w:sz w:val="48"/>
          <w:szCs w:val="48"/>
        </w:rPr>
        <w:t>VICTORIA HALL LETTING FEES</w:t>
      </w:r>
    </w:p>
    <w:p w:rsidR="00144A52" w:rsidRPr="00E60205" w:rsidRDefault="00144A52" w:rsidP="004C415B">
      <w:pPr>
        <w:pBdr>
          <w:top w:val="single" w:sz="4" w:space="1" w:color="auto"/>
          <w:left w:val="single" w:sz="4" w:space="4" w:color="auto"/>
          <w:bottom w:val="single" w:sz="4" w:space="1" w:color="auto"/>
          <w:right w:val="single" w:sz="4" w:space="4" w:color="auto"/>
        </w:pBdr>
        <w:jc w:val="center"/>
        <w:rPr>
          <w:rFonts w:ascii="Comic Sans MS" w:hAnsi="Comic Sans MS"/>
          <w:b/>
          <w:sz w:val="48"/>
          <w:szCs w:val="48"/>
        </w:rPr>
      </w:pPr>
      <w:r>
        <w:rPr>
          <w:rFonts w:ascii="Comic Sans MS" w:hAnsi="Comic Sans MS"/>
          <w:b/>
          <w:sz w:val="48"/>
          <w:szCs w:val="48"/>
        </w:rPr>
        <w:t>From 1</w:t>
      </w:r>
      <w:r w:rsidRPr="00144A52">
        <w:rPr>
          <w:rFonts w:ascii="Comic Sans MS" w:hAnsi="Comic Sans MS"/>
          <w:b/>
          <w:sz w:val="48"/>
          <w:szCs w:val="48"/>
          <w:vertAlign w:val="superscript"/>
        </w:rPr>
        <w:t>st</w:t>
      </w:r>
      <w:r>
        <w:rPr>
          <w:rFonts w:ascii="Comic Sans MS" w:hAnsi="Comic Sans MS"/>
          <w:b/>
          <w:sz w:val="48"/>
          <w:szCs w:val="48"/>
        </w:rPr>
        <w:t xml:space="preserve"> September 2022</w:t>
      </w:r>
    </w:p>
    <w:p w:rsidR="00E60205" w:rsidRDefault="00E60205"/>
    <w:tbl>
      <w:tblPr>
        <w:tblW w:w="1101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3"/>
        <w:gridCol w:w="850"/>
        <w:gridCol w:w="2552"/>
        <w:gridCol w:w="2551"/>
      </w:tblGrid>
      <w:tr w:rsidR="00E60205" w:rsidTr="00144A52">
        <w:trPr>
          <w:trHeight w:val="61"/>
        </w:trPr>
        <w:tc>
          <w:tcPr>
            <w:tcW w:w="5063" w:type="dxa"/>
          </w:tcPr>
          <w:p w:rsidR="00E60205" w:rsidRDefault="00E60205" w:rsidP="00890B67">
            <w:pPr>
              <w:rPr>
                <w:rFonts w:ascii="Comic Sans MS" w:hAnsi="Comic Sans MS"/>
              </w:rPr>
            </w:pPr>
          </w:p>
        </w:tc>
        <w:tc>
          <w:tcPr>
            <w:tcW w:w="850" w:type="dxa"/>
          </w:tcPr>
          <w:p w:rsidR="00E60205" w:rsidRDefault="00E60205" w:rsidP="00890B67">
            <w:pPr>
              <w:pStyle w:val="BodyText"/>
              <w:tabs>
                <w:tab w:val="clear" w:pos="7110"/>
              </w:tabs>
              <w:rPr>
                <w:b/>
                <w:color w:val="0000FF"/>
                <w:sz w:val="20"/>
              </w:rPr>
            </w:pPr>
          </w:p>
        </w:tc>
        <w:tc>
          <w:tcPr>
            <w:tcW w:w="2552" w:type="dxa"/>
          </w:tcPr>
          <w:p w:rsidR="00E60205" w:rsidRPr="00144A52" w:rsidRDefault="00AC3A22" w:rsidP="00890B67">
            <w:pPr>
              <w:rPr>
                <w:rFonts w:ascii="Comic Sans MS" w:hAnsi="Comic Sans MS"/>
                <w:b/>
                <w:color w:val="FF0000"/>
              </w:rPr>
            </w:pPr>
            <w:r>
              <w:rPr>
                <w:rFonts w:ascii="Comic Sans MS" w:hAnsi="Comic Sans MS"/>
                <w:b/>
                <w:color w:val="FF0000"/>
              </w:rPr>
              <w:t>OLD</w:t>
            </w:r>
            <w:r w:rsidR="00E60205" w:rsidRPr="00144A52">
              <w:rPr>
                <w:rFonts w:ascii="Comic Sans MS" w:hAnsi="Comic Sans MS"/>
                <w:b/>
                <w:color w:val="FF0000"/>
              </w:rPr>
              <w:t xml:space="preserve"> since 2010</w:t>
            </w:r>
          </w:p>
        </w:tc>
        <w:tc>
          <w:tcPr>
            <w:tcW w:w="2551" w:type="dxa"/>
          </w:tcPr>
          <w:p w:rsidR="00E60205" w:rsidRPr="00144A52" w:rsidRDefault="00E60205" w:rsidP="00890B67">
            <w:pPr>
              <w:rPr>
                <w:rFonts w:ascii="Comic Sans MS" w:hAnsi="Comic Sans MS"/>
                <w:b/>
                <w:color w:val="FF0000"/>
              </w:rPr>
            </w:pPr>
            <w:r w:rsidRPr="00144A52">
              <w:rPr>
                <w:rFonts w:ascii="Comic Sans MS" w:hAnsi="Comic Sans MS"/>
                <w:b/>
                <w:color w:val="FF0000"/>
              </w:rPr>
              <w:t>NEW</w:t>
            </w:r>
          </w:p>
        </w:tc>
      </w:tr>
      <w:tr w:rsidR="00E60205" w:rsidTr="00144A52">
        <w:trPr>
          <w:trHeight w:val="61"/>
        </w:trPr>
        <w:tc>
          <w:tcPr>
            <w:tcW w:w="5063" w:type="dxa"/>
          </w:tcPr>
          <w:p w:rsidR="00E60205" w:rsidRPr="00E60205" w:rsidRDefault="00E60205" w:rsidP="00890B67">
            <w:pPr>
              <w:rPr>
                <w:rFonts w:ascii="Comic Sans MS" w:hAnsi="Comic Sans MS"/>
                <w:b/>
              </w:rPr>
            </w:pPr>
            <w:r w:rsidRPr="00E60205">
              <w:rPr>
                <w:rFonts w:ascii="Comic Sans MS" w:hAnsi="Comic Sans MS"/>
                <w:b/>
              </w:rPr>
              <w:t>HOURLY HIRE</w:t>
            </w:r>
          </w:p>
        </w:tc>
        <w:tc>
          <w:tcPr>
            <w:tcW w:w="850" w:type="dxa"/>
          </w:tcPr>
          <w:p w:rsidR="00E60205" w:rsidRDefault="00E60205" w:rsidP="00890B67">
            <w:pPr>
              <w:pStyle w:val="BodyText"/>
              <w:tabs>
                <w:tab w:val="clear" w:pos="7110"/>
              </w:tabs>
              <w:rPr>
                <w:b/>
                <w:color w:val="0000FF"/>
                <w:sz w:val="20"/>
              </w:rPr>
            </w:pPr>
          </w:p>
        </w:tc>
        <w:tc>
          <w:tcPr>
            <w:tcW w:w="2552" w:type="dxa"/>
          </w:tcPr>
          <w:p w:rsidR="00E60205" w:rsidRDefault="00E60205" w:rsidP="00890B67">
            <w:pPr>
              <w:pStyle w:val="BodyText"/>
              <w:tabs>
                <w:tab w:val="clear" w:pos="7110"/>
              </w:tabs>
              <w:rPr>
                <w:color w:val="FF0000"/>
                <w:sz w:val="20"/>
              </w:rPr>
            </w:pPr>
          </w:p>
        </w:tc>
        <w:tc>
          <w:tcPr>
            <w:tcW w:w="2551" w:type="dxa"/>
          </w:tcPr>
          <w:p w:rsidR="00E60205" w:rsidRDefault="00E60205" w:rsidP="00890B67">
            <w:pPr>
              <w:pStyle w:val="BodyText"/>
              <w:tabs>
                <w:tab w:val="clear" w:pos="7110"/>
              </w:tabs>
              <w:rPr>
                <w:color w:val="FF0000"/>
                <w:sz w:val="20"/>
              </w:rPr>
            </w:pPr>
          </w:p>
        </w:tc>
      </w:tr>
      <w:tr w:rsidR="00E60205" w:rsidTr="00144A52">
        <w:tc>
          <w:tcPr>
            <w:tcW w:w="5063" w:type="dxa"/>
          </w:tcPr>
          <w:p w:rsidR="00E60205" w:rsidRDefault="00E60205" w:rsidP="00890B67">
            <w:pPr>
              <w:rPr>
                <w:rFonts w:ascii="Comic Sans MS" w:hAnsi="Comic Sans MS"/>
              </w:rPr>
            </w:pPr>
            <w:r>
              <w:rPr>
                <w:rFonts w:ascii="Comic Sans MS" w:hAnsi="Comic Sans MS"/>
              </w:rPr>
              <w:t>Use of Hall                  including light use of kitchen</w:t>
            </w:r>
          </w:p>
          <w:p w:rsidR="00E60205" w:rsidRDefault="00E60205" w:rsidP="00890B67">
            <w:pPr>
              <w:rPr>
                <w:rFonts w:ascii="Comic Sans MS" w:hAnsi="Comic Sans MS"/>
              </w:rPr>
            </w:pPr>
            <w:r>
              <w:rPr>
                <w:rFonts w:ascii="Comic Sans MS" w:hAnsi="Comic Sans MS"/>
              </w:rPr>
              <w:t>Use of Meeting Room  including light use of kitchen</w:t>
            </w:r>
          </w:p>
        </w:tc>
        <w:tc>
          <w:tcPr>
            <w:tcW w:w="850" w:type="dxa"/>
          </w:tcPr>
          <w:p w:rsidR="00E60205" w:rsidRDefault="00E60205" w:rsidP="00890B67">
            <w:pPr>
              <w:pStyle w:val="BodyText"/>
              <w:tabs>
                <w:tab w:val="clear" w:pos="7110"/>
              </w:tabs>
              <w:rPr>
                <w:b/>
                <w:color w:val="0000FF"/>
                <w:sz w:val="20"/>
              </w:rPr>
            </w:pPr>
            <w:r>
              <w:rPr>
                <w:b/>
                <w:color w:val="0000FF"/>
                <w:sz w:val="20"/>
              </w:rPr>
              <w:t>Hourly Rate</w:t>
            </w:r>
          </w:p>
        </w:tc>
        <w:tc>
          <w:tcPr>
            <w:tcW w:w="2552" w:type="dxa"/>
          </w:tcPr>
          <w:p w:rsidR="00E60205" w:rsidRDefault="00E60205" w:rsidP="00890B67">
            <w:pPr>
              <w:pStyle w:val="BodyText"/>
              <w:tabs>
                <w:tab w:val="clear" w:pos="7110"/>
              </w:tabs>
              <w:rPr>
                <w:color w:val="FF0000"/>
                <w:sz w:val="20"/>
              </w:rPr>
            </w:pPr>
            <w:r>
              <w:rPr>
                <w:color w:val="FF0000"/>
                <w:sz w:val="20"/>
              </w:rPr>
              <w:t>£8.00 (residents)</w:t>
            </w:r>
          </w:p>
          <w:p w:rsidR="00E60205" w:rsidRDefault="00E60205" w:rsidP="00E60205">
            <w:pPr>
              <w:pStyle w:val="BodyText"/>
              <w:tabs>
                <w:tab w:val="clear" w:pos="7110"/>
              </w:tabs>
              <w:rPr>
                <w:color w:val="FF0000"/>
                <w:sz w:val="20"/>
              </w:rPr>
            </w:pPr>
            <w:r>
              <w:rPr>
                <w:color w:val="FF0000"/>
                <w:sz w:val="20"/>
              </w:rPr>
              <w:t>£10.00 (non-resident)</w:t>
            </w:r>
          </w:p>
        </w:tc>
        <w:tc>
          <w:tcPr>
            <w:tcW w:w="2551" w:type="dxa"/>
          </w:tcPr>
          <w:p w:rsidR="00E60205" w:rsidRDefault="00E60205" w:rsidP="00890B67">
            <w:pPr>
              <w:pStyle w:val="BodyText"/>
              <w:tabs>
                <w:tab w:val="clear" w:pos="7110"/>
              </w:tabs>
              <w:rPr>
                <w:color w:val="FF0000"/>
                <w:sz w:val="20"/>
              </w:rPr>
            </w:pPr>
            <w:r>
              <w:rPr>
                <w:color w:val="FF0000"/>
                <w:sz w:val="20"/>
              </w:rPr>
              <w:t>£11.00 (residents)</w:t>
            </w:r>
          </w:p>
          <w:p w:rsidR="00E60205" w:rsidRDefault="00E60205" w:rsidP="00E60205">
            <w:pPr>
              <w:pStyle w:val="BodyText"/>
              <w:tabs>
                <w:tab w:val="clear" w:pos="7110"/>
              </w:tabs>
              <w:rPr>
                <w:color w:val="FF0000"/>
                <w:sz w:val="20"/>
              </w:rPr>
            </w:pPr>
            <w:r>
              <w:rPr>
                <w:color w:val="FF0000"/>
                <w:sz w:val="20"/>
              </w:rPr>
              <w:t>£13.50 (non-resident)</w:t>
            </w:r>
          </w:p>
        </w:tc>
      </w:tr>
      <w:tr w:rsidR="00E60205" w:rsidTr="00144A52">
        <w:tc>
          <w:tcPr>
            <w:tcW w:w="5063" w:type="dxa"/>
          </w:tcPr>
          <w:p w:rsidR="00E60205" w:rsidRDefault="00E60205" w:rsidP="00890B67">
            <w:pPr>
              <w:rPr>
                <w:rFonts w:ascii="Comic Sans MS" w:hAnsi="Comic Sans MS"/>
              </w:rPr>
            </w:pPr>
          </w:p>
        </w:tc>
        <w:tc>
          <w:tcPr>
            <w:tcW w:w="850" w:type="dxa"/>
          </w:tcPr>
          <w:p w:rsidR="00E60205" w:rsidRDefault="00E60205" w:rsidP="00890B67">
            <w:pPr>
              <w:pStyle w:val="BodyText"/>
              <w:tabs>
                <w:tab w:val="clear" w:pos="7110"/>
              </w:tabs>
              <w:rPr>
                <w:b/>
                <w:color w:val="0000FF"/>
                <w:sz w:val="20"/>
              </w:rPr>
            </w:pPr>
          </w:p>
        </w:tc>
        <w:tc>
          <w:tcPr>
            <w:tcW w:w="2552" w:type="dxa"/>
          </w:tcPr>
          <w:p w:rsidR="00E60205" w:rsidRDefault="00E60205" w:rsidP="00890B67">
            <w:pPr>
              <w:pStyle w:val="BodyText"/>
              <w:tabs>
                <w:tab w:val="clear" w:pos="7110"/>
              </w:tabs>
              <w:rPr>
                <w:color w:val="FF0000"/>
                <w:sz w:val="20"/>
              </w:rPr>
            </w:pPr>
          </w:p>
        </w:tc>
        <w:tc>
          <w:tcPr>
            <w:tcW w:w="2551" w:type="dxa"/>
          </w:tcPr>
          <w:p w:rsidR="00E60205" w:rsidRDefault="00E60205" w:rsidP="00890B67">
            <w:pPr>
              <w:pStyle w:val="BodyText"/>
              <w:tabs>
                <w:tab w:val="clear" w:pos="7110"/>
              </w:tabs>
              <w:rPr>
                <w:color w:val="FF0000"/>
                <w:sz w:val="20"/>
              </w:rPr>
            </w:pPr>
          </w:p>
        </w:tc>
      </w:tr>
      <w:tr w:rsidR="00E60205" w:rsidTr="00144A52">
        <w:tc>
          <w:tcPr>
            <w:tcW w:w="5063" w:type="dxa"/>
          </w:tcPr>
          <w:p w:rsidR="00E60205" w:rsidRPr="00E60205" w:rsidRDefault="00E60205" w:rsidP="00890B67">
            <w:pPr>
              <w:rPr>
                <w:rFonts w:ascii="Comic Sans MS" w:hAnsi="Comic Sans MS"/>
                <w:b/>
              </w:rPr>
            </w:pPr>
            <w:r w:rsidRPr="00E60205">
              <w:rPr>
                <w:rFonts w:ascii="Comic Sans MS" w:hAnsi="Comic Sans MS"/>
                <w:b/>
              </w:rPr>
              <w:t>DAILY HIRE</w:t>
            </w:r>
          </w:p>
        </w:tc>
        <w:tc>
          <w:tcPr>
            <w:tcW w:w="850" w:type="dxa"/>
          </w:tcPr>
          <w:p w:rsidR="00E60205" w:rsidRDefault="00E60205" w:rsidP="00890B67">
            <w:pPr>
              <w:pStyle w:val="BodyText"/>
              <w:tabs>
                <w:tab w:val="clear" w:pos="7110"/>
              </w:tabs>
              <w:rPr>
                <w:b/>
                <w:color w:val="0000FF"/>
                <w:sz w:val="20"/>
              </w:rPr>
            </w:pPr>
          </w:p>
        </w:tc>
        <w:tc>
          <w:tcPr>
            <w:tcW w:w="2552" w:type="dxa"/>
          </w:tcPr>
          <w:p w:rsidR="00E60205" w:rsidRDefault="00E60205" w:rsidP="00890B67">
            <w:pPr>
              <w:pStyle w:val="BodyText"/>
              <w:tabs>
                <w:tab w:val="clear" w:pos="7110"/>
              </w:tabs>
              <w:rPr>
                <w:color w:val="FF0000"/>
                <w:sz w:val="20"/>
              </w:rPr>
            </w:pPr>
          </w:p>
        </w:tc>
        <w:tc>
          <w:tcPr>
            <w:tcW w:w="2551" w:type="dxa"/>
          </w:tcPr>
          <w:p w:rsidR="00E60205" w:rsidRDefault="00E60205" w:rsidP="00890B67">
            <w:pPr>
              <w:pStyle w:val="BodyText"/>
              <w:tabs>
                <w:tab w:val="clear" w:pos="7110"/>
              </w:tabs>
              <w:rPr>
                <w:color w:val="FF0000"/>
                <w:sz w:val="20"/>
              </w:rPr>
            </w:pPr>
          </w:p>
        </w:tc>
      </w:tr>
      <w:tr w:rsidR="00E60205" w:rsidTr="00144A52">
        <w:tc>
          <w:tcPr>
            <w:tcW w:w="5063" w:type="dxa"/>
          </w:tcPr>
          <w:p w:rsidR="00E60205" w:rsidRPr="005D4912" w:rsidRDefault="00E60205" w:rsidP="00890B67">
            <w:pPr>
              <w:rPr>
                <w:rFonts w:ascii="Comic Sans MS" w:hAnsi="Comic Sans MS"/>
                <w:u w:val="single"/>
              </w:rPr>
            </w:pPr>
            <w:r w:rsidRPr="005D4912">
              <w:rPr>
                <w:rFonts w:ascii="Comic Sans MS" w:hAnsi="Comic Sans MS"/>
                <w:u w:val="single"/>
              </w:rPr>
              <w:t>Private Functions e.g. Party/Wedding</w:t>
            </w:r>
          </w:p>
          <w:p w:rsidR="00E60205" w:rsidRDefault="00E60205" w:rsidP="00890B67">
            <w:pPr>
              <w:rPr>
                <w:rFonts w:ascii="Comic Sans MS" w:hAnsi="Comic Sans MS"/>
              </w:rPr>
            </w:pPr>
            <w:r>
              <w:rPr>
                <w:rFonts w:ascii="Comic Sans MS" w:hAnsi="Comic Sans MS"/>
              </w:rPr>
              <w:t>Use of Hall (+ kitchen if required)</w:t>
            </w:r>
          </w:p>
        </w:tc>
        <w:tc>
          <w:tcPr>
            <w:tcW w:w="850" w:type="dxa"/>
          </w:tcPr>
          <w:p w:rsidR="00E60205" w:rsidRDefault="00E60205" w:rsidP="00890B67">
            <w:pPr>
              <w:pStyle w:val="BodyText"/>
              <w:tabs>
                <w:tab w:val="clear" w:pos="7110"/>
              </w:tabs>
              <w:rPr>
                <w:b/>
                <w:color w:val="0000FF"/>
                <w:sz w:val="20"/>
              </w:rPr>
            </w:pPr>
            <w:r>
              <w:rPr>
                <w:b/>
                <w:color w:val="0000FF"/>
                <w:sz w:val="20"/>
              </w:rPr>
              <w:t>Per Day</w:t>
            </w:r>
          </w:p>
        </w:tc>
        <w:tc>
          <w:tcPr>
            <w:tcW w:w="2552" w:type="dxa"/>
          </w:tcPr>
          <w:p w:rsidR="00E60205" w:rsidRDefault="00E60205" w:rsidP="00890B67">
            <w:pPr>
              <w:pStyle w:val="BodyText"/>
              <w:tabs>
                <w:tab w:val="clear" w:pos="7110"/>
              </w:tabs>
              <w:rPr>
                <w:color w:val="FF0000"/>
                <w:sz w:val="20"/>
              </w:rPr>
            </w:pPr>
            <w:r>
              <w:rPr>
                <w:color w:val="FF0000"/>
                <w:sz w:val="20"/>
              </w:rPr>
              <w:t>£80.00 (residents)</w:t>
            </w:r>
          </w:p>
          <w:p w:rsidR="00E60205" w:rsidRDefault="00E60205" w:rsidP="00890B67">
            <w:pPr>
              <w:pStyle w:val="BodyText"/>
              <w:tabs>
                <w:tab w:val="clear" w:pos="7110"/>
              </w:tabs>
              <w:rPr>
                <w:color w:val="FF0000"/>
                <w:sz w:val="20"/>
              </w:rPr>
            </w:pPr>
            <w:r>
              <w:rPr>
                <w:color w:val="FF0000"/>
                <w:sz w:val="20"/>
              </w:rPr>
              <w:t>£100.00 (non-residents)</w:t>
            </w:r>
          </w:p>
        </w:tc>
        <w:tc>
          <w:tcPr>
            <w:tcW w:w="2551" w:type="dxa"/>
          </w:tcPr>
          <w:p w:rsidR="00E60205" w:rsidRDefault="00E60205" w:rsidP="00890B67">
            <w:pPr>
              <w:pStyle w:val="BodyText"/>
              <w:tabs>
                <w:tab w:val="clear" w:pos="7110"/>
              </w:tabs>
              <w:rPr>
                <w:color w:val="FF0000"/>
                <w:sz w:val="20"/>
              </w:rPr>
            </w:pPr>
            <w:r>
              <w:rPr>
                <w:color w:val="FF0000"/>
                <w:sz w:val="20"/>
              </w:rPr>
              <w:t>£110.00 (residents)</w:t>
            </w:r>
          </w:p>
          <w:p w:rsidR="00E60205" w:rsidRDefault="00E60205" w:rsidP="00E60205">
            <w:pPr>
              <w:pStyle w:val="BodyText"/>
              <w:tabs>
                <w:tab w:val="clear" w:pos="7110"/>
              </w:tabs>
              <w:rPr>
                <w:color w:val="FF0000"/>
                <w:sz w:val="20"/>
              </w:rPr>
            </w:pPr>
            <w:r>
              <w:rPr>
                <w:color w:val="FF0000"/>
                <w:sz w:val="20"/>
              </w:rPr>
              <w:t>£135.00 (non-residents)</w:t>
            </w:r>
          </w:p>
        </w:tc>
      </w:tr>
      <w:tr w:rsidR="00E60205" w:rsidTr="00144A52">
        <w:tc>
          <w:tcPr>
            <w:tcW w:w="5063" w:type="dxa"/>
          </w:tcPr>
          <w:p w:rsidR="00E60205" w:rsidRPr="005D4912" w:rsidRDefault="00E60205" w:rsidP="00890B67">
            <w:pPr>
              <w:rPr>
                <w:rFonts w:ascii="Comic Sans MS" w:hAnsi="Comic Sans MS"/>
                <w:u w:val="single"/>
              </w:rPr>
            </w:pPr>
            <w:r w:rsidRPr="005D4912">
              <w:rPr>
                <w:rFonts w:ascii="Comic Sans MS" w:hAnsi="Comic Sans MS"/>
                <w:u w:val="single"/>
              </w:rPr>
              <w:t xml:space="preserve">Public Functions (i.e. entry by ticket) </w:t>
            </w:r>
          </w:p>
          <w:p w:rsidR="00E60205" w:rsidRDefault="00E60205" w:rsidP="00890B67">
            <w:pPr>
              <w:rPr>
                <w:rFonts w:ascii="Comic Sans MS" w:hAnsi="Comic Sans MS"/>
              </w:rPr>
            </w:pPr>
            <w:r>
              <w:rPr>
                <w:rFonts w:ascii="Comic Sans MS" w:hAnsi="Comic Sans MS"/>
              </w:rPr>
              <w:t>Use of Hall (+ kitchen if required)</w:t>
            </w:r>
          </w:p>
        </w:tc>
        <w:tc>
          <w:tcPr>
            <w:tcW w:w="850" w:type="dxa"/>
          </w:tcPr>
          <w:p w:rsidR="00E60205" w:rsidRDefault="00E60205" w:rsidP="00890B67">
            <w:pPr>
              <w:pStyle w:val="BodyText"/>
              <w:tabs>
                <w:tab w:val="clear" w:pos="7110"/>
              </w:tabs>
              <w:rPr>
                <w:b/>
                <w:color w:val="0000FF"/>
                <w:sz w:val="20"/>
              </w:rPr>
            </w:pPr>
            <w:r>
              <w:rPr>
                <w:b/>
                <w:color w:val="0000FF"/>
                <w:sz w:val="20"/>
              </w:rPr>
              <w:t>Per Day</w:t>
            </w:r>
          </w:p>
        </w:tc>
        <w:tc>
          <w:tcPr>
            <w:tcW w:w="2552" w:type="dxa"/>
          </w:tcPr>
          <w:p w:rsidR="00E60205" w:rsidRDefault="00E60205" w:rsidP="00890B67">
            <w:pPr>
              <w:pStyle w:val="BodyText"/>
              <w:tabs>
                <w:tab w:val="clear" w:pos="7110"/>
              </w:tabs>
              <w:rPr>
                <w:color w:val="FF0000"/>
                <w:sz w:val="20"/>
              </w:rPr>
            </w:pPr>
            <w:r>
              <w:rPr>
                <w:color w:val="FF0000"/>
                <w:sz w:val="20"/>
              </w:rPr>
              <w:t>£100.00</w:t>
            </w:r>
          </w:p>
        </w:tc>
        <w:tc>
          <w:tcPr>
            <w:tcW w:w="2551" w:type="dxa"/>
          </w:tcPr>
          <w:p w:rsidR="00E60205" w:rsidRDefault="00E60205" w:rsidP="00E60205">
            <w:pPr>
              <w:pStyle w:val="BodyText"/>
              <w:tabs>
                <w:tab w:val="clear" w:pos="7110"/>
              </w:tabs>
              <w:rPr>
                <w:color w:val="FF0000"/>
                <w:sz w:val="20"/>
              </w:rPr>
            </w:pPr>
            <w:r>
              <w:rPr>
                <w:color w:val="FF0000"/>
                <w:sz w:val="20"/>
              </w:rPr>
              <w:t>£135.00</w:t>
            </w:r>
          </w:p>
        </w:tc>
      </w:tr>
      <w:tr w:rsidR="00E60205" w:rsidTr="00144A52">
        <w:tc>
          <w:tcPr>
            <w:tcW w:w="5063" w:type="dxa"/>
          </w:tcPr>
          <w:p w:rsidR="00E60205" w:rsidRDefault="00E60205" w:rsidP="00890B67">
            <w:pPr>
              <w:rPr>
                <w:rFonts w:ascii="Comic Sans MS" w:hAnsi="Comic Sans MS"/>
              </w:rPr>
            </w:pPr>
            <w:r>
              <w:rPr>
                <w:rFonts w:ascii="Comic Sans MS" w:hAnsi="Comic Sans MS"/>
              </w:rPr>
              <w:t>Political Elections</w:t>
            </w:r>
          </w:p>
        </w:tc>
        <w:tc>
          <w:tcPr>
            <w:tcW w:w="850" w:type="dxa"/>
          </w:tcPr>
          <w:p w:rsidR="00E60205" w:rsidRDefault="00E60205" w:rsidP="00890B67">
            <w:pPr>
              <w:pStyle w:val="BodyText"/>
              <w:tabs>
                <w:tab w:val="clear" w:pos="7110"/>
              </w:tabs>
              <w:rPr>
                <w:b/>
                <w:color w:val="0000FF"/>
                <w:sz w:val="20"/>
              </w:rPr>
            </w:pPr>
            <w:r>
              <w:rPr>
                <w:b/>
                <w:color w:val="0000FF"/>
                <w:sz w:val="20"/>
              </w:rPr>
              <w:t>All Day</w:t>
            </w:r>
          </w:p>
        </w:tc>
        <w:tc>
          <w:tcPr>
            <w:tcW w:w="2552" w:type="dxa"/>
          </w:tcPr>
          <w:p w:rsidR="00E60205" w:rsidRDefault="00E60205" w:rsidP="00890B67">
            <w:pPr>
              <w:pStyle w:val="BodyText"/>
              <w:tabs>
                <w:tab w:val="clear" w:pos="7110"/>
              </w:tabs>
              <w:rPr>
                <w:color w:val="FF0000"/>
                <w:sz w:val="20"/>
              </w:rPr>
            </w:pPr>
            <w:r>
              <w:rPr>
                <w:color w:val="FF0000"/>
                <w:sz w:val="20"/>
              </w:rPr>
              <w:t>£150.00</w:t>
            </w:r>
          </w:p>
        </w:tc>
        <w:tc>
          <w:tcPr>
            <w:tcW w:w="2551" w:type="dxa"/>
          </w:tcPr>
          <w:p w:rsidR="00E60205" w:rsidRDefault="00E60205" w:rsidP="00E60205">
            <w:pPr>
              <w:pStyle w:val="BodyText"/>
              <w:tabs>
                <w:tab w:val="clear" w:pos="7110"/>
              </w:tabs>
              <w:rPr>
                <w:color w:val="FF0000"/>
                <w:sz w:val="20"/>
              </w:rPr>
            </w:pPr>
            <w:r>
              <w:rPr>
                <w:color w:val="FF0000"/>
                <w:sz w:val="20"/>
              </w:rPr>
              <w:t>£200.00</w:t>
            </w:r>
          </w:p>
        </w:tc>
      </w:tr>
    </w:tbl>
    <w:p w:rsidR="00E60205" w:rsidRDefault="00E60205"/>
    <w:sectPr w:rsidR="00E60205" w:rsidSect="00E602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E60205"/>
    <w:rsid w:val="0004172B"/>
    <w:rsid w:val="000C5AB8"/>
    <w:rsid w:val="00140EEF"/>
    <w:rsid w:val="00144A52"/>
    <w:rsid w:val="00335160"/>
    <w:rsid w:val="0037775A"/>
    <w:rsid w:val="004C415B"/>
    <w:rsid w:val="00861D70"/>
    <w:rsid w:val="00AC3A22"/>
    <w:rsid w:val="00BB34F6"/>
    <w:rsid w:val="00D24459"/>
    <w:rsid w:val="00E602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0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60205"/>
    <w:pPr>
      <w:tabs>
        <w:tab w:val="decimal" w:pos="7110"/>
      </w:tabs>
    </w:pPr>
    <w:rPr>
      <w:rFonts w:ascii="Comic Sans MS" w:hAnsi="Comic Sans MS"/>
      <w:sz w:val="18"/>
    </w:rPr>
  </w:style>
  <w:style w:type="character" w:customStyle="1" w:styleId="BodyTextChar">
    <w:name w:val="Body Text Char"/>
    <w:basedOn w:val="DefaultParagraphFont"/>
    <w:link w:val="BodyText"/>
    <w:semiHidden/>
    <w:rsid w:val="00E60205"/>
    <w:rPr>
      <w:rFonts w:ascii="Comic Sans MS" w:eastAsia="Times New Roman" w:hAnsi="Comic Sans MS" w:cs="Times New Roman"/>
      <w:sz w:val="18"/>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dc:creator>
  <cp:lastModifiedBy>Vivienne</cp:lastModifiedBy>
  <cp:revision>4</cp:revision>
  <cp:lastPrinted>2022-08-28T22:37:00Z</cp:lastPrinted>
  <dcterms:created xsi:type="dcterms:W3CDTF">2022-08-30T22:12:00Z</dcterms:created>
  <dcterms:modified xsi:type="dcterms:W3CDTF">2022-08-31T13:45:00Z</dcterms:modified>
</cp:coreProperties>
</file>